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 w:ascii="Calibri" w:hAnsi="Calibri" w:eastAsia="宋体" w:cs="Times New Roman"/>
          <w:b/>
          <w:bCs/>
          <w:sz w:val="48"/>
          <w:szCs w:val="48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sz w:val="48"/>
          <w:szCs w:val="48"/>
          <w:lang w:val="en-US" w:eastAsia="zh-CN"/>
        </w:rPr>
        <w:t>西咸新区公共资源交易工程建设不见面开标大厅招标代理操作手册</w:t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br w:type="page"/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417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</w:t>
          </w:r>
          <w:r>
            <w:rPr>
              <w:rFonts w:hint="eastAsia" w:ascii="宋体" w:hAnsi="宋体" w:eastAsia="宋体"/>
              <w:sz w:val="21"/>
              <w:lang w:val="en-US" w:eastAsia="zh-CN"/>
            </w:rPr>
            <w:t xml:space="preserve">  </w:t>
          </w:r>
          <w:r>
            <w:rPr>
              <w:rFonts w:ascii="宋体" w:hAnsi="宋体" w:eastAsia="宋体"/>
              <w:sz w:val="21"/>
            </w:rPr>
            <w:t>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/>
              <w:sz w:val="44"/>
              <w:szCs w:val="44"/>
              <w:lang w:val="en-US" w:eastAsia="zh-CN"/>
            </w:rPr>
            <w:instrText xml:space="preserve">TOC \o "1-2" \h \u </w:instrText>
          </w:r>
          <w:r>
            <w:rPr>
              <w:rFonts w:hint="default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_Toc6996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系统登陆</w:t>
          </w:r>
          <w:r>
            <w:tab/>
          </w:r>
          <w:r>
            <w:fldChar w:fldCharType="begin"/>
          </w:r>
          <w:r>
            <w:instrText xml:space="preserve"> PAGEREF _Toc6996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_Toc2086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1、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_Toc2086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_Toc26032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2、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_Toc26032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_Toc5442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3、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证书工具</w:t>
          </w:r>
          <w:r>
            <w:tab/>
          </w:r>
          <w:r>
            <w:fldChar w:fldCharType="begin"/>
          </w:r>
          <w:r>
            <w:instrText xml:space="preserve"> PAGEREF _Toc5442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_Toc20839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4、系统登录</w:t>
          </w:r>
          <w:r>
            <w:tab/>
          </w:r>
          <w:r>
            <w:fldChar w:fldCharType="begin"/>
          </w:r>
          <w:r>
            <w:instrText xml:space="preserve"> PAGEREF _Toc20839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_Toc4636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开标流程</w:t>
          </w:r>
          <w:r>
            <w:tab/>
          </w:r>
          <w:r>
            <w:fldChar w:fldCharType="begin"/>
          </w:r>
          <w:r>
            <w:instrText xml:space="preserve"> PAGEREF _Toc4636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_Toc12163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_Toc12163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_Toc15336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阅读开标流程</w:t>
          </w:r>
          <w:r>
            <w:tab/>
          </w:r>
          <w:r>
            <w:fldChar w:fldCharType="begin"/>
          </w:r>
          <w:r>
            <w:instrText xml:space="preserve"> PAGEREF _Toc15336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_Toc8025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同步投标人（广联达）</w:t>
          </w:r>
          <w:r>
            <w:tab/>
          </w:r>
          <w:r>
            <w:fldChar w:fldCharType="begin"/>
          </w:r>
          <w:r>
            <w:instrText xml:space="preserve"> PAGEREF _Toc8025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_Toc30681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查看现场签到情况</w:t>
          </w:r>
          <w:r>
            <w:tab/>
          </w:r>
          <w:r>
            <w:fldChar w:fldCharType="begin"/>
          </w:r>
          <w:r>
            <w:instrText xml:space="preserve"> PAGEREF _Toc30681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_Toc20436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公布投标人</w:t>
          </w:r>
          <w:r>
            <w:tab/>
          </w:r>
          <w:r>
            <w:fldChar w:fldCharType="begin"/>
          </w:r>
          <w:r>
            <w:instrText xml:space="preserve"> PAGEREF _Toc20436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_Toc9632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同步投标文件（广联达）</w:t>
          </w:r>
          <w:r>
            <w:tab/>
          </w:r>
          <w:r>
            <w:fldChar w:fldCharType="begin"/>
          </w:r>
          <w:r>
            <w:instrText xml:space="preserve"> PAGEREF _Toc9632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_Toc17517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投标解密</w:t>
          </w:r>
          <w:r>
            <w:tab/>
          </w:r>
          <w:r>
            <w:fldChar w:fldCharType="begin"/>
          </w:r>
          <w:r>
            <w:instrText xml:space="preserve"> PAGEREF _Toc17517 \h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_Toc6947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开标结束</w:t>
          </w:r>
          <w:r>
            <w:tab/>
          </w:r>
          <w:r>
            <w:fldChar w:fldCharType="begin"/>
          </w:r>
          <w:r>
            <w:instrText xml:space="preserve"> PAGEREF _Toc6947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_Toc667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其他功能介绍</w:t>
          </w:r>
          <w:r>
            <w:tab/>
          </w:r>
          <w:r>
            <w:fldChar w:fldCharType="begin"/>
          </w:r>
          <w:r>
            <w:instrText xml:space="preserve"> PAGEREF _Toc667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_Toc14996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人员列表</w:t>
          </w:r>
          <w:r>
            <w:tab/>
          </w:r>
          <w:r>
            <w:fldChar w:fldCharType="begin"/>
          </w:r>
          <w:r>
            <w:instrText xml:space="preserve"> PAGEREF _Toc14996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_Toc29690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交流控制+互动交流</w:t>
          </w:r>
          <w:r>
            <w:tab/>
          </w:r>
          <w:r>
            <w:fldChar w:fldCharType="begin"/>
          </w:r>
          <w:r>
            <w:instrText xml:space="preserve"> PAGEREF _Toc29690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_Toc24203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开标小组</w:t>
          </w:r>
          <w:r>
            <w:tab/>
          </w:r>
          <w:r>
            <w:fldChar w:fldCharType="begin"/>
          </w:r>
          <w:r>
            <w:instrText xml:space="preserve"> PAGEREF _Toc24203 \h </w:instrText>
          </w:r>
          <w:r>
            <w:fldChar w:fldCharType="separate"/>
          </w:r>
          <w:r>
            <w:t>- 22 -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_Toc27262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异议答复</w:t>
          </w:r>
          <w:r>
            <w:tab/>
          </w:r>
          <w:r>
            <w:fldChar w:fldCharType="begin"/>
          </w:r>
          <w:r>
            <w:instrText xml:space="preserve"> PAGEREF _Toc27262 \h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default"/>
              <w:szCs w:val="44"/>
              <w:lang w:val="en-US" w:eastAsia="zh-CN"/>
            </w:rPr>
            <w:fldChar w:fldCharType="begin"/>
          </w:r>
          <w:r>
            <w:rPr>
              <w:rFonts w:hint="default"/>
              <w:szCs w:val="44"/>
              <w:lang w:val="en-US" w:eastAsia="zh-CN"/>
            </w:rPr>
            <w:instrText xml:space="preserve"> HYPERLINK \l _Toc29667 </w:instrText>
          </w:r>
          <w:r>
            <w:rPr>
              <w:rFonts w:hint="default"/>
              <w:szCs w:val="4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注意事项</w:t>
          </w:r>
          <w:r>
            <w:tab/>
          </w:r>
          <w:r>
            <w:fldChar w:fldCharType="begin"/>
          </w:r>
          <w:r>
            <w:instrText xml:space="preserve"> PAGEREF _Toc29667 \h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rPr>
              <w:rFonts w:hint="default"/>
              <w:szCs w:val="44"/>
              <w:lang w:val="en-US" w:eastAsia="zh-CN"/>
            </w:rPr>
            <w:fldChar w:fldCharType="end"/>
          </w:r>
        </w:p>
        <w:p>
          <w:pPr>
            <w:jc w:val="both"/>
            <w:rPr>
              <w:rFonts w:hint="default"/>
              <w:sz w:val="44"/>
              <w:szCs w:val="44"/>
              <w:lang w:val="en-US" w:eastAsia="zh-CN"/>
            </w:rPr>
          </w:pPr>
          <w:r>
            <w:rPr>
              <w:rFonts w:hint="default"/>
              <w:szCs w:val="44"/>
              <w:lang w:val="en-US" w:eastAsia="zh-CN"/>
            </w:rPr>
            <w:fldChar w:fldCharType="end"/>
          </w:r>
        </w:p>
      </w:sdtContent>
    </w:sdt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6996"/>
      <w:r>
        <w:rPr>
          <w:rFonts w:hint="eastAsia"/>
          <w:lang w:val="en-US" w:eastAsia="zh-CN"/>
        </w:rPr>
        <w:t>系统登陆</w:t>
      </w:r>
      <w:bookmarkEnd w:id="0"/>
    </w:p>
    <w:p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1" w:name="_Toc476838168"/>
      <w:bookmarkStart w:id="2" w:name="_Toc2086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浏览器配置</w:t>
      </w:r>
      <w:bookmarkEnd w:id="1"/>
      <w:bookmarkEnd w:id="2"/>
    </w:p>
    <w:p>
      <w:pPr>
        <w:pStyle w:val="4"/>
        <w:ind w:left="1072" w:hanging="1072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3" w:name="_Toc476838169"/>
      <w:r>
        <w:rPr>
          <w:rFonts w:hint="eastAsia" w:asciiTheme="minorEastAsia" w:hAnsiTheme="minorEastAsia" w:eastAsiaTheme="minorEastAsia" w:cstheme="minorEastAsia"/>
          <w:sz w:val="28"/>
          <w:szCs w:val="24"/>
        </w:rPr>
        <w:t>Internet选项</w:t>
      </w:r>
      <w:bookmarkEnd w:id="3"/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为了让系统插件能够正常工作，请按照以下步骤进行浏览器的配置。</w:t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1、打开浏览器，在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“工</w:t>
      </w: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具”菜单→“Internet选项”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3562350" cy="3152775"/>
            <wp:effectExtent l="0" t="0" r="381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2914650" cy="3476625"/>
            <wp:effectExtent l="0" t="0" r="11430" b="133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3638550" cy="3971925"/>
            <wp:effectExtent l="0" t="0" r="3810" b="571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4、点击“站点” 按钮，出现如下对话框：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980815" cy="4704715"/>
            <wp:effectExtent l="0" t="0" r="12065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输入系统服务器的IP地址，格式例如：222.143.20.34，然后点击“添加”按钮完成添加，再按“关闭”按钮退出。</w:t>
      </w:r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5、设置自定义安全级别，开放Activex的访问权限：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3543300" cy="4200525"/>
            <wp:effectExtent l="0" t="0" r="7620" b="571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①会出现一个窗口，把其中的Activex控件和插件的设置全部改为启用。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4114800" cy="3829050"/>
            <wp:effectExtent l="0" t="0" r="0" b="11430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②文件下载设置，开放文件下载的权限：设置为启用。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drawing>
          <wp:inline distT="0" distB="0" distL="0" distR="0">
            <wp:extent cx="3524250" cy="3705225"/>
            <wp:effectExtent l="0" t="0" r="11430" b="133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4"/>
        <w:ind w:left="1072" w:hanging="1072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4" w:name="_Toc476838170"/>
      <w:r>
        <w:rPr>
          <w:rFonts w:hint="eastAsia" w:asciiTheme="minorEastAsia" w:hAnsiTheme="minorEastAsia" w:eastAsiaTheme="minorEastAsia" w:cstheme="minorEastAsia"/>
          <w:sz w:val="28"/>
          <w:szCs w:val="24"/>
        </w:rPr>
        <w:t>关闭拦截工具</w:t>
      </w:r>
      <w:bookmarkEnd w:id="4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13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095875" cy="2324100"/>
            <wp:effectExtent l="0" t="0" r="9525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5" w:name="_Toc476838171"/>
      <w:r>
        <w:rPr>
          <w:rFonts w:hint="eastAsia" w:asciiTheme="minorEastAsia" w:hAnsiTheme="minorEastAsia" w:eastAsiaTheme="minorEastAsia" w:cstheme="minorEastAsia"/>
          <w:sz w:val="28"/>
          <w:szCs w:val="24"/>
        </w:rPr>
        <w:t>设置兼容性模式</w:t>
      </w:r>
      <w:bookmarkEnd w:id="5"/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点击IE菜单栏里边的工具-兼容性视图设置，如下图：</w:t>
      </w: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274310" cy="2755265"/>
            <wp:effectExtent l="0" t="0" r="1397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进入如下页面：</w:t>
      </w: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4171315" cy="5494655"/>
            <wp:effectExtent l="0" t="0" r="444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5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13"/>
        <w:ind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将网站地址</w:t>
      </w: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sxggzyjy.cn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添加进去即可。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6" w:name="_Toc26032"/>
      <w:bookmarkStart w:id="7" w:name="_Toc476838172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驱动安装说明</w:t>
      </w:r>
      <w:bookmarkEnd w:id="6"/>
      <w:bookmarkEnd w:id="7"/>
    </w:p>
    <w:p>
      <w:pPr>
        <w:pStyle w:val="4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8" w:name="_Toc476838173"/>
      <w:r>
        <w:rPr>
          <w:rFonts w:hint="eastAsia" w:asciiTheme="minorEastAsia" w:hAnsiTheme="minorEastAsia" w:eastAsiaTheme="minorEastAsia" w:cstheme="minorEastAsia"/>
          <w:sz w:val="28"/>
          <w:szCs w:val="24"/>
        </w:rPr>
        <w:t>驱动下载</w:t>
      </w:r>
      <w:bookmarkEnd w:id="8"/>
    </w:p>
    <w:p>
      <w:pPr>
        <w:ind w:left="345" w:leftChars="50" w:hanging="240" w:hanging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在会员系统登录的首界面下载驱动，如下图红框处。</w:t>
      </w:r>
    </w:p>
    <w:p>
      <w:pPr>
        <w:ind w:left="345" w:leftChars="50" w:hanging="240" w:hanging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274310" cy="2401570"/>
            <wp:effectExtent l="0" t="0" r="1397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5" w:leftChars="50" w:hanging="240" w:hangingChars="10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4"/>
        <w:ind w:left="1072" w:hanging="1072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9" w:name="_Toc476838174"/>
      <w:bookmarkStart w:id="10" w:name="_Toc346701725"/>
      <w:bookmarkStart w:id="11" w:name="_Toc346183629"/>
      <w:r>
        <w:rPr>
          <w:rFonts w:hint="eastAsia" w:asciiTheme="minorEastAsia" w:hAnsiTheme="minorEastAsia" w:eastAsiaTheme="minorEastAsia" w:cstheme="minorEastAsia"/>
          <w:sz w:val="28"/>
          <w:szCs w:val="24"/>
        </w:rPr>
        <w:t>安装驱动程序</w:t>
      </w:r>
      <w:bookmarkEnd w:id="9"/>
      <w:bookmarkEnd w:id="10"/>
      <w:bookmarkEnd w:id="11"/>
    </w:p>
    <w:p>
      <w:pPr>
        <w:pStyle w:val="14"/>
        <w:numPr>
          <w:ilvl w:val="0"/>
          <w:numId w:val="2"/>
        </w:numPr>
        <w:spacing w:line="360" w:lineRule="auto"/>
        <w:ind w:firstLineChars="0"/>
        <w:rPr>
          <w:rFonts w:hint="eastAsia" w:asciiTheme="minorEastAsia" w:hAnsiTheme="minorEastAsia" w:eastAsiaTheme="minorEastAsia" w:cstheme="minorEastAsia"/>
          <w:b/>
          <w:color w:val="FF0000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双击安装程序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80390" cy="961390"/>
            <wp:effectExtent l="0" t="0" r="13970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，进入安装页面。</w:t>
      </w:r>
      <w:r>
        <w:rPr>
          <w:rFonts w:hint="eastAsia" w:asciiTheme="minorEastAsia" w:hAnsiTheme="minorEastAsia" w:eastAsiaTheme="minorEastAsia" w:cstheme="minorEastAsia"/>
          <w:b/>
          <w:color w:val="FF0000"/>
          <w:spacing w:val="4"/>
          <w:sz w:val="24"/>
          <w:szCs w:val="24"/>
        </w:rPr>
        <w:t>注意安装过程中电脑不要插CA锁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274310" cy="3956050"/>
            <wp:effectExtent l="0" t="0" r="1397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2、点击快速安装，进入安装页面。</w:t>
      </w:r>
    </w:p>
    <w:p>
      <w:pPr>
        <w:pStyle w:val="13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274310" cy="3956050"/>
            <wp:effectExtent l="0" t="0" r="1397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3、点击确定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4790440" cy="3437890"/>
            <wp:effectExtent l="0" t="0" r="1016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4、点击完成，驱动安装成功。</w:t>
      </w:r>
    </w:p>
    <w:p>
      <w:pPr>
        <w:pStyle w:val="13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pacing w:val="4"/>
          <w:sz w:val="24"/>
          <w:szCs w:val="24"/>
        </w:rPr>
        <w:drawing>
          <wp:inline distT="0" distB="0" distL="0" distR="0">
            <wp:extent cx="5274310" cy="3955415"/>
            <wp:effectExtent l="0" t="0" r="13970" b="6985"/>
            <wp:docPr id="38" name="图片 38" descr="C:\Users\Administrator\Desktop\QQ截图20171025103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Desktop\QQ截图201710251034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6" w:firstLineChars="20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按照程序的提示进行安装。</w:t>
      </w:r>
      <w:r>
        <w:rPr>
          <w:rFonts w:hint="eastAsia" w:asciiTheme="minorEastAsia" w:hAnsiTheme="minorEastAsia" w:eastAsiaTheme="minorEastAsia" w:cstheme="minorEastAsia"/>
          <w:b/>
          <w:color w:val="FF0000"/>
          <w:spacing w:val="4"/>
          <w:sz w:val="24"/>
          <w:szCs w:val="24"/>
        </w:rPr>
        <w:t>注意安装过程中电脑不要插CA锁</w:t>
      </w:r>
    </w:p>
    <w:p>
      <w:pPr>
        <w:pStyle w:val="13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spacing w:val="4"/>
          <w:sz w:val="24"/>
          <w:szCs w:val="24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12" w:name="_Toc5442"/>
      <w:bookmarkStart w:id="13" w:name="_Toc346183631"/>
      <w:bookmarkStart w:id="14" w:name="_Toc476838175"/>
      <w:bookmarkStart w:id="15" w:name="_Toc346701727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证书工具</w:t>
      </w:r>
      <w:bookmarkEnd w:id="12"/>
      <w:bookmarkEnd w:id="13"/>
      <w:bookmarkEnd w:id="14"/>
      <w:bookmarkEnd w:id="15"/>
    </w:p>
    <w:p>
      <w:pPr>
        <w:pStyle w:val="4"/>
        <w:ind w:left="1072" w:hanging="1072"/>
        <w:rPr>
          <w:rFonts w:hint="eastAsia" w:asciiTheme="minorEastAsia" w:hAnsiTheme="minorEastAsia" w:eastAsiaTheme="minorEastAsia" w:cstheme="minorEastAsia"/>
          <w:sz w:val="28"/>
          <w:szCs w:val="24"/>
        </w:rPr>
      </w:pPr>
      <w:bookmarkStart w:id="16" w:name="_Toc346701728"/>
      <w:bookmarkStart w:id="17" w:name="_Toc346183632"/>
      <w:bookmarkStart w:id="18" w:name="_Toc476838176"/>
      <w:r>
        <w:rPr>
          <w:rFonts w:hint="eastAsia" w:asciiTheme="minorEastAsia" w:hAnsiTheme="minorEastAsia" w:eastAsiaTheme="minorEastAsia" w:cstheme="minorEastAsia"/>
          <w:sz w:val="28"/>
          <w:szCs w:val="24"/>
        </w:rPr>
        <w:t>修改口令</w:t>
      </w:r>
      <w:bookmarkEnd w:id="16"/>
      <w:bookmarkEnd w:id="17"/>
      <w:bookmarkEnd w:id="18"/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用户可以点击桌面上的HaiKey用户工具</w:t>
      </w:r>
      <w:r>
        <w:drawing>
          <wp:inline distT="0" distB="0" distL="114300" distR="114300">
            <wp:extent cx="714375" cy="571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，然后选择PIN码管理进入PIN码管理界面。</w:t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PIN码相当于证书Key的密码，需要妥善保管，新发出的证书Key的密码是111111（6个1）。</w:t>
      </w:r>
    </w:p>
    <w:p>
      <w:pPr>
        <w:spacing w:line="360" w:lineRule="auto"/>
        <w:ind w:firstLine="420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drawing>
          <wp:inline distT="0" distB="0" distL="114300" distR="114300">
            <wp:extent cx="5272405" cy="3514725"/>
            <wp:effectExtent l="0" t="0" r="444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4"/>
          <w:sz w:val="24"/>
          <w:szCs w:val="24"/>
        </w:rPr>
        <w:t>输入正确的旧PIN码和新PIN码，点击确认就可以修改密码了。</w:t>
      </w:r>
    </w:p>
    <w:p>
      <w:pPr>
        <w:pStyle w:val="3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19" w:name="_Toc20839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4、系统登录</w:t>
      </w:r>
      <w:bookmarkEnd w:id="19"/>
    </w:p>
    <w:p>
      <w:pPr>
        <w:numPr>
          <w:ilvl w:val="0"/>
          <w:numId w:val="3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打开西咸新区公共资源交易网站（http://xxxq.sxggzyjy.cn/），点击【电子交易平台】-----【不见面开标系统】进入不见面开标大厅登陆首页。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278003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5080635"/>
            <wp:effectExtent l="0" t="0" r="762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150" cy="2784475"/>
            <wp:effectExtent l="0" t="0" r="8890" b="4445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点击【登陆】---挑选招标代理身份使用CA锁登陆系统。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463165"/>
            <wp:effectExtent l="0" t="0" r="6350" b="5715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备注：推荐使用IE11浏览器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20" w:name="_Toc4636"/>
      <w:r>
        <w:rPr>
          <w:rFonts w:hint="eastAsia"/>
          <w:lang w:val="en-US" w:eastAsia="zh-CN"/>
        </w:rPr>
        <w:t>开标流程</w:t>
      </w:r>
      <w:bookmarkEnd w:id="20"/>
    </w:p>
    <w:p>
      <w:pPr>
        <w:pStyle w:val="3"/>
        <w:bidi w:val="0"/>
        <w:rPr>
          <w:rFonts w:hint="default"/>
          <w:lang w:val="en-US" w:eastAsia="zh-CN"/>
        </w:rPr>
      </w:pPr>
      <w:bookmarkStart w:id="21" w:name="_Toc12163"/>
      <w:r>
        <w:rPr>
          <w:rFonts w:hint="eastAsia"/>
          <w:lang w:val="en-US" w:eastAsia="zh-CN"/>
        </w:rPr>
        <w:t>我的项目</w:t>
      </w:r>
      <w:bookmarkEnd w:id="21"/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在我的项目里面找到等待开标的项目，点击进入不见面开标会议室。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2374900"/>
            <wp:effectExtent l="0" t="0" r="444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2" w:name="_Toc15336"/>
      <w:r>
        <w:rPr>
          <w:rFonts w:hint="eastAsia"/>
          <w:lang w:val="en-US" w:eastAsia="zh-CN"/>
        </w:rPr>
        <w:t>阅读开标流程</w:t>
      </w:r>
      <w:bookmarkEnd w:id="22"/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代理机构阅读开标流程，等待倒计时结束后开始开标活动。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81580"/>
            <wp:effectExtent l="0" t="0" r="635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0340" cy="2366645"/>
            <wp:effectExtent l="0" t="0" r="1270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8025"/>
      <w:r>
        <w:rPr>
          <w:rFonts w:hint="eastAsia"/>
          <w:lang w:val="en-US" w:eastAsia="zh-CN"/>
        </w:rPr>
        <w:t>同步投标人（广联达）</w:t>
      </w:r>
      <w:bookmarkEnd w:id="23"/>
    </w:p>
    <w:p>
      <w:pPr>
        <w:pStyle w:val="3"/>
        <w:bidi w:val="0"/>
        <w:rPr>
          <w:rFonts w:hint="eastAsia"/>
          <w:lang w:val="en-US" w:eastAsia="zh-CN"/>
        </w:rPr>
      </w:pPr>
      <w:bookmarkStart w:id="24" w:name="_Toc30681"/>
      <w:r>
        <w:rPr>
          <w:rFonts w:hint="eastAsia"/>
          <w:lang w:val="en-US" w:eastAsia="zh-CN"/>
        </w:rPr>
        <w:t>查看现场签到情况</w:t>
      </w:r>
      <w:bookmarkEnd w:id="2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进入广联达系统，进入投标人签到，查看投标人签到情况。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225040"/>
            <wp:effectExtent l="0" t="0" r="635" b="0"/>
            <wp:docPr id="35" name="图片 35" descr="没签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没签到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5" w:name="_Toc20436"/>
      <w:r>
        <w:rPr>
          <w:rFonts w:hint="eastAsia"/>
          <w:lang w:val="en-US" w:eastAsia="zh-CN"/>
        </w:rPr>
        <w:t>公布投标人</w:t>
      </w:r>
      <w:bookmarkEnd w:id="25"/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等待投标人签到完成，代理点击公布投标人。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2370455"/>
            <wp:effectExtent l="0" t="0" r="1460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230" cy="2443480"/>
            <wp:effectExtent l="0" t="0" r="381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投标人名单有图标展示模式和列表展示模式，可根据自己意愿进行切换。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4310" cy="2157095"/>
            <wp:effectExtent l="0" t="0" r="13970" b="698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055" cy="2812415"/>
            <wp:effectExtent l="0" t="0" r="698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6" w:name="_Toc9632"/>
      <w:r>
        <w:rPr>
          <w:rFonts w:hint="eastAsia"/>
          <w:lang w:val="en-US" w:eastAsia="zh-CN"/>
        </w:rPr>
        <w:t>同步投标文件（广联达）</w:t>
      </w:r>
      <w:bookmarkEnd w:id="2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在不见面开标系统进行解密前，首先要进入广联达系统进行“同步投标文件”的工作，这一步是必须要做的，否则投标人无法在不见面系统正常解密。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465070"/>
            <wp:effectExtent l="0" t="0" r="8890" b="11430"/>
            <wp:docPr id="46" name="图片 46" descr="广同步标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广同步标书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不见面开标系统60秒倒计时结束后，代理机构可点击下一阶段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865" cy="2625725"/>
            <wp:effectExtent l="0" t="0" r="3175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2475865"/>
            <wp:effectExtent l="0" t="0" r="4445" b="825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7" w:name="_Toc17517"/>
      <w:r>
        <w:rPr>
          <w:rFonts w:hint="eastAsia"/>
          <w:lang w:val="en-US" w:eastAsia="zh-CN"/>
        </w:rPr>
        <w:t>投标解密</w:t>
      </w:r>
      <w:bookmarkEnd w:id="27"/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在投标解密阶段，由代理机构发起，所有投标人在线远程解密，所有单位解密成功后，系统会提醒“投标文件已全部解密，请进入下一阶段”，请点击确定，进入下一阶段。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7960" cy="2821940"/>
            <wp:effectExtent l="0" t="0" r="5080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公布开标结果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3784600"/>
            <wp:effectExtent l="0" t="0" r="1270" b="1016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8" w:name="_Toc6947"/>
      <w:r>
        <w:rPr>
          <w:rFonts w:hint="eastAsia"/>
          <w:lang w:val="en-US" w:eastAsia="zh-CN"/>
        </w:rPr>
        <w:t>开标结束</w:t>
      </w:r>
      <w:bookmarkEnd w:id="28"/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使用工程建设不见面开标系统时一定要注意，要等所有步骤操作完之后才能点击“开标结束”。</w:t>
      </w:r>
      <w:r>
        <w:drawing>
          <wp:inline distT="0" distB="0" distL="114300" distR="114300">
            <wp:extent cx="5267960" cy="2576830"/>
            <wp:effectExtent l="0" t="0" r="5080" b="1397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865" cy="3354705"/>
            <wp:effectExtent l="0" t="0" r="3175" b="1333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29" w:name="_Toc667"/>
      <w:r>
        <w:rPr>
          <w:rFonts w:hint="eastAsia"/>
          <w:lang w:val="en-US" w:eastAsia="zh-CN"/>
        </w:rPr>
        <w:t>其他功能介绍</w:t>
      </w:r>
      <w:bookmarkEnd w:id="29"/>
    </w:p>
    <w:p>
      <w:pPr>
        <w:pStyle w:val="3"/>
        <w:bidi w:val="0"/>
        <w:rPr>
          <w:rFonts w:hint="eastAsia"/>
          <w:lang w:val="en-US" w:eastAsia="zh-CN"/>
        </w:rPr>
      </w:pPr>
      <w:bookmarkStart w:id="30" w:name="_Toc14996"/>
      <w:r>
        <w:rPr>
          <w:rFonts w:hint="eastAsia"/>
          <w:lang w:val="en-US" w:eastAsia="zh-CN"/>
        </w:rPr>
        <w:t>人员列表</w:t>
      </w:r>
      <w:bookmarkEnd w:id="3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点击人员列表，可以查看投标人列表、投标人作为以及游客列表</w:t>
      </w:r>
    </w:p>
    <w:p>
      <w:r>
        <w:drawing>
          <wp:inline distT="0" distB="0" distL="114300" distR="114300">
            <wp:extent cx="5269865" cy="2418715"/>
            <wp:effectExtent l="0" t="0" r="3175" b="444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1" w:name="_Toc29690"/>
      <w:r>
        <w:rPr>
          <w:rFonts w:hint="eastAsia"/>
          <w:lang w:val="en-US" w:eastAsia="zh-CN"/>
        </w:rPr>
        <w:t>交流控制+互动交流</w:t>
      </w:r>
      <w:bookmarkEnd w:id="3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交流控制，可以控制开启关闭群聊、开启关闭私聊，来控制开标大厅互动交流的范围。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群聊、私聊默认均为关闭状态，代理根据需要进行开启，开启后代理可与投标人进行文字、语音沟通。</w:t>
      </w:r>
    </w:p>
    <w:p>
      <w:r>
        <w:drawing>
          <wp:inline distT="0" distB="0" distL="114300" distR="114300">
            <wp:extent cx="5274310" cy="4742180"/>
            <wp:effectExtent l="0" t="0" r="13970" b="1270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开启私聊后，代理可点击私聊按钮，并挑选投标人进行私聊。</w:t>
      </w:r>
    </w:p>
    <w:p>
      <w:r>
        <w:drawing>
          <wp:inline distT="0" distB="0" distL="114300" distR="114300">
            <wp:extent cx="5267325" cy="3954145"/>
            <wp:effectExtent l="0" t="0" r="5715" b="825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687830"/>
            <wp:effectExtent l="0" t="0" r="5715" b="381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83480" cy="4655820"/>
            <wp:effectExtent l="0" t="0" r="0" b="762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2" w:name="_Toc24203"/>
      <w:r>
        <w:rPr>
          <w:rFonts w:hint="eastAsia"/>
          <w:lang w:val="en-US" w:eastAsia="zh-CN"/>
        </w:rPr>
        <w:t>开标小组</w:t>
      </w:r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招标代理可在开标小组栏目与开标小组成员进行沟通交流。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701415" cy="4568190"/>
            <wp:effectExtent l="0" t="0" r="1905" b="381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3" w:name="_Toc27262"/>
      <w:r>
        <w:rPr>
          <w:rFonts w:hint="eastAsia"/>
          <w:lang w:val="en-US" w:eastAsia="zh-CN"/>
        </w:rPr>
        <w:t>异议答复</w:t>
      </w:r>
      <w:bookmarkEnd w:id="3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投标人提出异议后，代理和通过异议答复功能进行文字回复。</w:t>
      </w:r>
    </w:p>
    <w:p>
      <w:r>
        <w:drawing>
          <wp:inline distT="0" distB="0" distL="114300" distR="114300">
            <wp:extent cx="5273675" cy="2966085"/>
            <wp:effectExtent l="0" t="0" r="14605" b="571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113915"/>
            <wp:effectExtent l="0" t="0" r="635" b="444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258185"/>
            <wp:effectExtent l="0" t="0" r="0" b="317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34" w:name="_Toc29667"/>
      <w:r>
        <w:rPr>
          <w:rFonts w:hint="eastAsia"/>
          <w:lang w:val="en-US" w:eastAsia="zh-CN"/>
        </w:rPr>
        <w:t>注意事项</w:t>
      </w:r>
      <w:bookmarkEnd w:id="34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08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代理机构需在开标前</w:t>
      </w:r>
      <w:bookmarkStart w:id="35" w:name="_GoBack"/>
      <w:bookmarkEnd w:id="35"/>
      <w:r>
        <w:rPr>
          <w:rFonts w:hint="eastAsia"/>
          <w:lang w:val="en-US" w:eastAsia="zh-CN"/>
        </w:rPr>
        <w:t>登陆不见面开标大厅检查各项功能，如有问题请及时与平台技术联系。</w:t>
      </w: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581623"/>
    <w:multiLevelType w:val="multilevel"/>
    <w:tmpl w:val="0A58162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  <w:b w:val="0"/>
        <w:color w:val="auto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6F7B74B"/>
    <w:multiLevelType w:val="singleLevel"/>
    <w:tmpl w:val="16F7B7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4B1BF09"/>
    <w:multiLevelType w:val="singleLevel"/>
    <w:tmpl w:val="54B1BF09"/>
    <w:lvl w:ilvl="0" w:tentative="0">
      <w:start w:val="1"/>
      <w:numFmt w:val="decimal"/>
      <w:suff w:val="nothing"/>
      <w:lvlText w:val="%1、"/>
      <w:lvlJc w:val="left"/>
      <w:pPr>
        <w:ind w:left="105" w:leftChars="0" w:firstLine="0" w:firstLineChars="0"/>
      </w:pPr>
    </w:lvl>
  </w:abstractNum>
  <w:abstractNum w:abstractNumId="3">
    <w:nsid w:val="7B20B617"/>
    <w:multiLevelType w:val="singleLevel"/>
    <w:tmpl w:val="7B20B61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75A86"/>
    <w:rsid w:val="07784E6F"/>
    <w:rsid w:val="09EF296C"/>
    <w:rsid w:val="0FFB7B3B"/>
    <w:rsid w:val="15016C14"/>
    <w:rsid w:val="19BB268B"/>
    <w:rsid w:val="1D756399"/>
    <w:rsid w:val="1DC77FBE"/>
    <w:rsid w:val="1FC4123B"/>
    <w:rsid w:val="2176723F"/>
    <w:rsid w:val="23087E4B"/>
    <w:rsid w:val="246732BD"/>
    <w:rsid w:val="24EE737B"/>
    <w:rsid w:val="259C4231"/>
    <w:rsid w:val="29842D1B"/>
    <w:rsid w:val="2A597101"/>
    <w:rsid w:val="2B10530A"/>
    <w:rsid w:val="2C700FDF"/>
    <w:rsid w:val="32427044"/>
    <w:rsid w:val="33C9433C"/>
    <w:rsid w:val="38137561"/>
    <w:rsid w:val="38335747"/>
    <w:rsid w:val="39984F79"/>
    <w:rsid w:val="3DDB3223"/>
    <w:rsid w:val="410E3D15"/>
    <w:rsid w:val="443E5840"/>
    <w:rsid w:val="44A33FF9"/>
    <w:rsid w:val="45327B6A"/>
    <w:rsid w:val="48A26E11"/>
    <w:rsid w:val="49925EF9"/>
    <w:rsid w:val="4E1732CF"/>
    <w:rsid w:val="4F4514BC"/>
    <w:rsid w:val="4FC675D8"/>
    <w:rsid w:val="501A6E64"/>
    <w:rsid w:val="52BC4597"/>
    <w:rsid w:val="53F81BA0"/>
    <w:rsid w:val="552664D0"/>
    <w:rsid w:val="557B47AA"/>
    <w:rsid w:val="5719782F"/>
    <w:rsid w:val="57927460"/>
    <w:rsid w:val="586C691E"/>
    <w:rsid w:val="5C5570FF"/>
    <w:rsid w:val="5FAF2B7B"/>
    <w:rsid w:val="60D7549E"/>
    <w:rsid w:val="663955F8"/>
    <w:rsid w:val="694D254D"/>
    <w:rsid w:val="69511A0F"/>
    <w:rsid w:val="6979264E"/>
    <w:rsid w:val="69BF7F1D"/>
    <w:rsid w:val="6C2A0FB1"/>
    <w:rsid w:val="6CA372FF"/>
    <w:rsid w:val="6E6E2800"/>
    <w:rsid w:val="70B3093C"/>
    <w:rsid w:val="72D33B58"/>
    <w:rsid w:val="744239D1"/>
    <w:rsid w:val="76083334"/>
    <w:rsid w:val="78D76A1C"/>
    <w:rsid w:val="79E10B16"/>
    <w:rsid w:val="7BCE1459"/>
    <w:rsid w:val="7DE42A90"/>
    <w:rsid w:val="7ED35668"/>
    <w:rsid w:val="7F1E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2020-02-17T08:53:00Z</dcterms:created>
  <dc:creator>33869</dc:creator>
  <cp:lastModifiedBy>考拉小巫</cp:lastModifiedBy>
  <cp:lastPrinted>2021-07-19T09:01:00Z</cp:lastPrinted>
  <dcterms:modified xsi:type="dcterms:W3CDTF">2021-07-21T01:42:28Z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683ACCB00BD1496BA4ECB452B87BCAAA</vt:lpwstr>
  </property>
</Properties>
</file>